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9086" w14:textId="65AD8E62" w:rsidR="00643CF2" w:rsidRDefault="00CF5BA5" w:rsidP="00643CF2">
      <w:pPr>
        <w:jc w:val="center"/>
        <w:rPr>
          <w:rFonts w:cs="Arial"/>
          <w:b/>
          <w:bCs/>
          <w:lang w:val="en"/>
        </w:rPr>
      </w:pPr>
      <w:r>
        <w:rPr>
          <w:rFonts w:cs="Arial"/>
          <w:b/>
          <w:bCs/>
          <w:lang w:val="en"/>
        </w:rPr>
        <w:t>GP Educator Pay Scale 20</w:t>
      </w:r>
      <w:r w:rsidR="008A2C34">
        <w:rPr>
          <w:rFonts w:cs="Arial"/>
          <w:b/>
          <w:bCs/>
          <w:lang w:val="en"/>
        </w:rPr>
        <w:t>20</w:t>
      </w:r>
      <w:r>
        <w:rPr>
          <w:rFonts w:cs="Arial"/>
          <w:b/>
          <w:bCs/>
          <w:lang w:val="en"/>
        </w:rPr>
        <w:t xml:space="preserve"> to 202</w:t>
      </w:r>
      <w:r w:rsidR="008A2C34">
        <w:rPr>
          <w:rFonts w:cs="Arial"/>
          <w:b/>
          <w:bCs/>
          <w:lang w:val="en"/>
        </w:rPr>
        <w:t>1</w:t>
      </w:r>
    </w:p>
    <w:p w14:paraId="417A22A5" w14:textId="2BA41B61" w:rsidR="00643CF2" w:rsidRDefault="00CF5BA5" w:rsidP="00643CF2">
      <w:pPr>
        <w:jc w:val="center"/>
        <w:rPr>
          <w:rFonts w:cs="Arial"/>
          <w:b/>
          <w:lang w:val="en"/>
        </w:rPr>
      </w:pPr>
      <w:r>
        <w:rPr>
          <w:rFonts w:cs="Arial"/>
          <w:b/>
          <w:lang w:val="en"/>
        </w:rPr>
        <w:t>Scale published 2</w:t>
      </w:r>
      <w:r w:rsidR="008A2C34">
        <w:rPr>
          <w:rFonts w:cs="Arial"/>
          <w:b/>
          <w:lang w:val="en"/>
        </w:rPr>
        <w:t>8 August</w:t>
      </w:r>
      <w:r>
        <w:rPr>
          <w:rFonts w:cs="Arial"/>
          <w:b/>
          <w:lang w:val="en"/>
        </w:rPr>
        <w:t xml:space="preserve"> 20</w:t>
      </w:r>
      <w:r w:rsidR="008A2C34">
        <w:rPr>
          <w:rFonts w:cs="Arial"/>
          <w:b/>
          <w:lang w:val="en"/>
        </w:rPr>
        <w:t>20</w:t>
      </w:r>
      <w:r w:rsidR="00643CF2" w:rsidRPr="00643CF2">
        <w:rPr>
          <w:rFonts w:cs="Arial"/>
          <w:b/>
          <w:lang w:val="en"/>
        </w:rPr>
        <w:t>. Sca</w:t>
      </w:r>
      <w:r>
        <w:rPr>
          <w:rFonts w:cs="Arial"/>
          <w:b/>
          <w:lang w:val="en"/>
        </w:rPr>
        <w:t>le effective from 1 April 20</w:t>
      </w:r>
      <w:r w:rsidR="008A2C34">
        <w:rPr>
          <w:rFonts w:cs="Arial"/>
          <w:b/>
          <w:lang w:val="en"/>
        </w:rPr>
        <w:t>20</w:t>
      </w:r>
    </w:p>
    <w:p w14:paraId="058FF61A" w14:textId="77777777" w:rsidR="00643CF2" w:rsidRPr="00643CF2" w:rsidRDefault="00643CF2" w:rsidP="00643CF2">
      <w:pPr>
        <w:jc w:val="center"/>
        <w:rPr>
          <w:rFonts w:cs="Arial"/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693"/>
        <w:gridCol w:w="3889"/>
      </w:tblGrid>
      <w:tr w:rsidR="00643CF2" w:rsidRPr="00643CF2" w14:paraId="0080F9C8" w14:textId="77777777" w:rsidTr="00643CF2">
        <w:trPr>
          <w:trHeight w:val="530"/>
        </w:trPr>
        <w:tc>
          <w:tcPr>
            <w:tcW w:w="1384" w:type="dxa"/>
          </w:tcPr>
          <w:p w14:paraId="7EE0F4F8" w14:textId="77777777" w:rsidR="00643CF2" w:rsidRPr="00643CF2" w:rsidRDefault="00643CF2" w:rsidP="00643CF2">
            <w:pPr>
              <w:rPr>
                <w:rFonts w:cs="Arial"/>
                <w:b/>
                <w:lang w:val="en"/>
              </w:rPr>
            </w:pPr>
            <w:r w:rsidRPr="00643CF2">
              <w:rPr>
                <w:rFonts w:cs="Arial"/>
                <w:b/>
                <w:lang w:val="en"/>
              </w:rPr>
              <w:t>Point</w:t>
            </w:r>
          </w:p>
        </w:tc>
        <w:tc>
          <w:tcPr>
            <w:tcW w:w="1276" w:type="dxa"/>
          </w:tcPr>
          <w:p w14:paraId="1722D0C6" w14:textId="77777777" w:rsidR="00643CF2" w:rsidRPr="00643CF2" w:rsidRDefault="00643CF2" w:rsidP="00643CF2">
            <w:pPr>
              <w:rPr>
                <w:rFonts w:cs="Arial"/>
                <w:b/>
                <w:lang w:val="en"/>
              </w:rPr>
            </w:pPr>
            <w:r w:rsidRPr="00643CF2">
              <w:rPr>
                <w:rFonts w:cs="Arial"/>
                <w:b/>
                <w:lang w:val="en"/>
              </w:rPr>
              <w:t>Value</w:t>
            </w:r>
          </w:p>
        </w:tc>
        <w:tc>
          <w:tcPr>
            <w:tcW w:w="2693" w:type="dxa"/>
          </w:tcPr>
          <w:p w14:paraId="2DAFE704" w14:textId="77777777" w:rsidR="00643CF2" w:rsidRPr="00643CF2" w:rsidRDefault="00643CF2" w:rsidP="00643CF2">
            <w:pPr>
              <w:rPr>
                <w:rFonts w:cs="Arial"/>
                <w:b/>
                <w:lang w:val="en"/>
              </w:rPr>
            </w:pPr>
            <w:r w:rsidRPr="00643CF2">
              <w:rPr>
                <w:rFonts w:cs="Arial"/>
                <w:b/>
                <w:lang w:val="en"/>
              </w:rPr>
              <w:t>Grade</w:t>
            </w:r>
          </w:p>
        </w:tc>
        <w:tc>
          <w:tcPr>
            <w:tcW w:w="3889" w:type="dxa"/>
          </w:tcPr>
          <w:p w14:paraId="503E48F0" w14:textId="77777777" w:rsidR="00643CF2" w:rsidRPr="00643CF2" w:rsidRDefault="00643CF2" w:rsidP="00643CF2">
            <w:pPr>
              <w:rPr>
                <w:rFonts w:cs="Arial"/>
                <w:b/>
                <w:lang w:val="en"/>
              </w:rPr>
            </w:pPr>
            <w:r w:rsidRPr="00643CF2">
              <w:rPr>
                <w:rFonts w:cs="Arial"/>
                <w:b/>
                <w:lang w:val="en"/>
              </w:rPr>
              <w:t>Indicator</w:t>
            </w:r>
          </w:p>
        </w:tc>
      </w:tr>
      <w:tr w:rsidR="00643CF2" w:rsidRPr="00643CF2" w14:paraId="2E065E9B" w14:textId="77777777" w:rsidTr="00643CF2">
        <w:tc>
          <w:tcPr>
            <w:tcW w:w="1384" w:type="dxa"/>
            <w:vAlign w:val="center"/>
          </w:tcPr>
          <w:p w14:paraId="6EFB11EB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GP00</w:t>
            </w:r>
          </w:p>
        </w:tc>
        <w:tc>
          <w:tcPr>
            <w:tcW w:w="1276" w:type="dxa"/>
            <w:vAlign w:val="center"/>
          </w:tcPr>
          <w:p w14:paraId="30EB6147" w14:textId="24494781" w:rsidR="00643CF2" w:rsidRPr="00643CF2" w:rsidRDefault="00CF5BA5">
            <w:pPr>
              <w:rPr>
                <w:sz w:val="24"/>
                <w:szCs w:val="24"/>
              </w:rPr>
            </w:pPr>
            <w:r>
              <w:t>£</w:t>
            </w:r>
            <w:r w:rsidR="008A2C34">
              <w:t>90,571</w:t>
            </w:r>
          </w:p>
        </w:tc>
        <w:tc>
          <w:tcPr>
            <w:tcW w:w="2693" w:type="dxa"/>
            <w:vAlign w:val="center"/>
          </w:tcPr>
          <w:p w14:paraId="50FFBE61" w14:textId="429E5FB0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Preparatory year course organise</w:t>
            </w:r>
            <w:r w:rsidR="008A2C34">
              <w:t xml:space="preserve">r or </w:t>
            </w:r>
            <w:r w:rsidRPr="00643CF2">
              <w:t>tutor</w:t>
            </w:r>
          </w:p>
        </w:tc>
        <w:tc>
          <w:tcPr>
            <w:tcW w:w="3889" w:type="dxa"/>
            <w:vAlign w:val="center"/>
          </w:tcPr>
          <w:p w14:paraId="7E37640E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Contribution to backfill service provision in general practice</w:t>
            </w:r>
          </w:p>
        </w:tc>
      </w:tr>
      <w:tr w:rsidR="00643CF2" w:rsidRPr="00643CF2" w14:paraId="5C331838" w14:textId="77777777" w:rsidTr="00643CF2">
        <w:tc>
          <w:tcPr>
            <w:tcW w:w="1384" w:type="dxa"/>
            <w:vAlign w:val="center"/>
          </w:tcPr>
          <w:p w14:paraId="45681AFA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GP01</w:t>
            </w:r>
          </w:p>
        </w:tc>
        <w:tc>
          <w:tcPr>
            <w:tcW w:w="1276" w:type="dxa"/>
            <w:vAlign w:val="center"/>
          </w:tcPr>
          <w:p w14:paraId="45DFCB47" w14:textId="36DCE39E" w:rsidR="00643CF2" w:rsidRPr="00643CF2" w:rsidRDefault="00CF5BA5">
            <w:pPr>
              <w:rPr>
                <w:sz w:val="24"/>
                <w:szCs w:val="24"/>
              </w:rPr>
            </w:pPr>
            <w:r>
              <w:t>£9</w:t>
            </w:r>
            <w:r w:rsidR="008A2C34">
              <w:t>4,346</w:t>
            </w:r>
          </w:p>
        </w:tc>
        <w:tc>
          <w:tcPr>
            <w:tcW w:w="2693" w:type="dxa"/>
            <w:vAlign w:val="center"/>
          </w:tcPr>
          <w:p w14:paraId="35863032" w14:textId="3DEA2AC5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Established course organiser</w:t>
            </w:r>
            <w:r w:rsidR="008A2C34">
              <w:t xml:space="preserve"> or </w:t>
            </w:r>
            <w:r w:rsidRPr="00643CF2">
              <w:t>tutor</w:t>
            </w:r>
          </w:p>
        </w:tc>
        <w:tc>
          <w:tcPr>
            <w:tcW w:w="3889" w:type="dxa"/>
            <w:vAlign w:val="center"/>
          </w:tcPr>
          <w:p w14:paraId="77F3B9FD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Standard scale point for vocational training scheme course organisers, GP tutors and primary care tutors</w:t>
            </w:r>
          </w:p>
        </w:tc>
      </w:tr>
      <w:tr w:rsidR="00643CF2" w:rsidRPr="00643CF2" w14:paraId="481FDAD4" w14:textId="77777777" w:rsidTr="00643CF2">
        <w:tc>
          <w:tcPr>
            <w:tcW w:w="1384" w:type="dxa"/>
            <w:vAlign w:val="center"/>
          </w:tcPr>
          <w:p w14:paraId="2F34F92E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GP02</w:t>
            </w:r>
          </w:p>
        </w:tc>
        <w:tc>
          <w:tcPr>
            <w:tcW w:w="1276" w:type="dxa"/>
            <w:vAlign w:val="center"/>
          </w:tcPr>
          <w:p w14:paraId="1E483593" w14:textId="7C51E464" w:rsidR="00643CF2" w:rsidRPr="00643CF2" w:rsidRDefault="00CF5BA5">
            <w:pPr>
              <w:rPr>
                <w:sz w:val="24"/>
                <w:szCs w:val="24"/>
              </w:rPr>
            </w:pPr>
            <w:r>
              <w:t>£9</w:t>
            </w:r>
            <w:r w:rsidR="008A2C34">
              <w:t>7,487</w:t>
            </w:r>
          </w:p>
        </w:tc>
        <w:tc>
          <w:tcPr>
            <w:tcW w:w="2693" w:type="dxa"/>
            <w:vAlign w:val="center"/>
          </w:tcPr>
          <w:p w14:paraId="533C1667" w14:textId="34A60D79" w:rsidR="00643CF2" w:rsidRPr="00643CF2" w:rsidRDefault="00643CF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14:paraId="43344AA1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Advanced point for special responsibilities and lead roles in developing new initiatives</w:t>
            </w:r>
          </w:p>
        </w:tc>
      </w:tr>
      <w:tr w:rsidR="00643CF2" w:rsidRPr="00643CF2" w14:paraId="75C364A3" w14:textId="77777777" w:rsidTr="00643CF2">
        <w:tc>
          <w:tcPr>
            <w:tcW w:w="1384" w:type="dxa"/>
            <w:vAlign w:val="center"/>
          </w:tcPr>
          <w:p w14:paraId="091AD6C7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GP03</w:t>
            </w:r>
          </w:p>
        </w:tc>
        <w:tc>
          <w:tcPr>
            <w:tcW w:w="1276" w:type="dxa"/>
            <w:vAlign w:val="center"/>
          </w:tcPr>
          <w:p w14:paraId="65AE4903" w14:textId="0CF36335" w:rsidR="00643CF2" w:rsidRPr="00643CF2" w:rsidRDefault="00CF5BA5">
            <w:pPr>
              <w:rPr>
                <w:sz w:val="24"/>
                <w:szCs w:val="24"/>
              </w:rPr>
            </w:pPr>
            <w:r>
              <w:t>£</w:t>
            </w:r>
            <w:r w:rsidR="008A2C34">
              <w:t>101,266</w:t>
            </w:r>
          </w:p>
        </w:tc>
        <w:tc>
          <w:tcPr>
            <w:tcW w:w="2693" w:type="dxa"/>
            <w:vAlign w:val="center"/>
          </w:tcPr>
          <w:p w14:paraId="6A33E52F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Associate Adviser, Associate Director, Associate Postgraduate, Dean</w:t>
            </w:r>
          </w:p>
        </w:tc>
        <w:tc>
          <w:tcPr>
            <w:tcW w:w="3889" w:type="dxa"/>
            <w:vAlign w:val="center"/>
          </w:tcPr>
          <w:p w14:paraId="63EC27E5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Standard scale point for Associate Directors, Associate Advisers. Period of maintenance work plus person professional development.</w:t>
            </w:r>
          </w:p>
        </w:tc>
      </w:tr>
      <w:tr w:rsidR="00643CF2" w:rsidRPr="00643CF2" w14:paraId="0101C160" w14:textId="77777777" w:rsidTr="00643CF2">
        <w:tc>
          <w:tcPr>
            <w:tcW w:w="1384" w:type="dxa"/>
            <w:vAlign w:val="center"/>
          </w:tcPr>
          <w:p w14:paraId="63F8C95C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GP04</w:t>
            </w:r>
          </w:p>
        </w:tc>
        <w:tc>
          <w:tcPr>
            <w:tcW w:w="1276" w:type="dxa"/>
            <w:vAlign w:val="center"/>
          </w:tcPr>
          <w:p w14:paraId="5A51A9E8" w14:textId="03FDB1BB" w:rsidR="00643CF2" w:rsidRPr="00643CF2" w:rsidRDefault="00CF5BA5">
            <w:pPr>
              <w:rPr>
                <w:sz w:val="24"/>
                <w:szCs w:val="24"/>
              </w:rPr>
            </w:pPr>
            <w:r>
              <w:t>£10</w:t>
            </w:r>
            <w:r w:rsidR="008A2C34">
              <w:t>4,408</w:t>
            </w:r>
          </w:p>
        </w:tc>
        <w:tc>
          <w:tcPr>
            <w:tcW w:w="2693" w:type="dxa"/>
            <w:vAlign w:val="center"/>
          </w:tcPr>
          <w:p w14:paraId="09F0212C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 </w:t>
            </w:r>
          </w:p>
        </w:tc>
        <w:tc>
          <w:tcPr>
            <w:tcW w:w="3889" w:type="dxa"/>
            <w:vAlign w:val="center"/>
          </w:tcPr>
          <w:p w14:paraId="5C353A13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Established lead work and lead on new initiatives</w:t>
            </w:r>
          </w:p>
        </w:tc>
      </w:tr>
      <w:tr w:rsidR="00643CF2" w:rsidRPr="00643CF2" w14:paraId="3DBA2763" w14:textId="77777777" w:rsidTr="00643CF2">
        <w:tc>
          <w:tcPr>
            <w:tcW w:w="1384" w:type="dxa"/>
            <w:vAlign w:val="center"/>
          </w:tcPr>
          <w:p w14:paraId="3B642484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GP05</w:t>
            </w:r>
          </w:p>
        </w:tc>
        <w:tc>
          <w:tcPr>
            <w:tcW w:w="1276" w:type="dxa"/>
            <w:vAlign w:val="center"/>
          </w:tcPr>
          <w:p w14:paraId="0BD9AEFA" w14:textId="5005574E" w:rsidR="00643CF2" w:rsidRPr="00643CF2" w:rsidRDefault="00CF5BA5">
            <w:pPr>
              <w:rPr>
                <w:sz w:val="24"/>
                <w:szCs w:val="24"/>
              </w:rPr>
            </w:pPr>
            <w:r>
              <w:t>£10</w:t>
            </w:r>
            <w:r w:rsidR="008A2C34">
              <w:t>7,553</w:t>
            </w:r>
          </w:p>
        </w:tc>
        <w:tc>
          <w:tcPr>
            <w:tcW w:w="2693" w:type="dxa"/>
            <w:vAlign w:val="center"/>
          </w:tcPr>
          <w:p w14:paraId="391A75A7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 </w:t>
            </w:r>
          </w:p>
        </w:tc>
        <w:tc>
          <w:tcPr>
            <w:tcW w:w="3889" w:type="dxa"/>
            <w:vAlign w:val="center"/>
          </w:tcPr>
          <w:p w14:paraId="4720506C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Lead role on natio</w:t>
            </w:r>
            <w:r w:rsidR="00CF5BA5">
              <w:t>nal organisations that enhance D</w:t>
            </w:r>
            <w:r w:rsidRPr="00643CF2">
              <w:t>eanery performance</w:t>
            </w:r>
          </w:p>
        </w:tc>
      </w:tr>
      <w:tr w:rsidR="00643CF2" w:rsidRPr="00643CF2" w14:paraId="0F450AE1" w14:textId="77777777" w:rsidTr="00643CF2">
        <w:tc>
          <w:tcPr>
            <w:tcW w:w="1384" w:type="dxa"/>
            <w:vAlign w:val="center"/>
          </w:tcPr>
          <w:p w14:paraId="2985C6E0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GP06</w:t>
            </w:r>
          </w:p>
        </w:tc>
        <w:tc>
          <w:tcPr>
            <w:tcW w:w="1276" w:type="dxa"/>
            <w:vAlign w:val="center"/>
          </w:tcPr>
          <w:p w14:paraId="0C2B44E9" w14:textId="11210821" w:rsidR="00643CF2" w:rsidRPr="00643CF2" w:rsidRDefault="00CF5BA5">
            <w:pPr>
              <w:rPr>
                <w:sz w:val="24"/>
                <w:szCs w:val="24"/>
              </w:rPr>
            </w:pPr>
            <w:r>
              <w:t>£1</w:t>
            </w:r>
            <w:r w:rsidR="008A2C34">
              <w:t>11,328</w:t>
            </w:r>
          </w:p>
        </w:tc>
        <w:tc>
          <w:tcPr>
            <w:tcW w:w="2693" w:type="dxa"/>
            <w:vAlign w:val="center"/>
          </w:tcPr>
          <w:p w14:paraId="72FF67B2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Deputy Director</w:t>
            </w:r>
          </w:p>
        </w:tc>
        <w:tc>
          <w:tcPr>
            <w:tcW w:w="3889" w:type="dxa"/>
            <w:vAlign w:val="center"/>
          </w:tcPr>
          <w:p w14:paraId="4B3A1BB0" w14:textId="77777777" w:rsidR="00643CF2" w:rsidRPr="00643CF2" w:rsidRDefault="00643CF2">
            <w:pPr>
              <w:rPr>
                <w:sz w:val="24"/>
                <w:szCs w:val="24"/>
              </w:rPr>
            </w:pPr>
            <w:r w:rsidRPr="00643CF2">
              <w:t>Leadership role, sharing some director duties</w:t>
            </w:r>
            <w:r w:rsidR="00CF5BA5">
              <w:t>, footprint extends beyond the D</w:t>
            </w:r>
            <w:r w:rsidRPr="00643CF2">
              <w:t>eanery, and wider than education management</w:t>
            </w:r>
          </w:p>
        </w:tc>
      </w:tr>
    </w:tbl>
    <w:p w14:paraId="66BF0857" w14:textId="77777777" w:rsidR="00643CF2" w:rsidRPr="00643CF2" w:rsidRDefault="00643CF2" w:rsidP="00643CF2">
      <w:pPr>
        <w:rPr>
          <w:rFonts w:cs="Arial"/>
          <w:lang w:val="en"/>
        </w:rPr>
      </w:pPr>
    </w:p>
    <w:p w14:paraId="49AFF10F" w14:textId="77777777" w:rsidR="00643CF2" w:rsidRPr="00643CF2" w:rsidRDefault="00643CF2" w:rsidP="00643CF2">
      <w:pPr>
        <w:rPr>
          <w:rFonts w:cs="Arial"/>
          <w:b/>
          <w:lang w:val="en"/>
        </w:rPr>
      </w:pPr>
      <w:r>
        <w:rPr>
          <w:rFonts w:cs="Arial"/>
          <w:b/>
          <w:lang w:val="en"/>
        </w:rPr>
        <w:t>Notes</w:t>
      </w:r>
    </w:p>
    <w:p w14:paraId="7DBFA529" w14:textId="7D1A70F5" w:rsidR="00643CF2" w:rsidRDefault="00643CF2" w:rsidP="00643CF2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643CF2">
        <w:rPr>
          <w:rFonts w:cs="Arial"/>
          <w:lang w:val="en"/>
        </w:rPr>
        <w:t xml:space="preserve">In line with </w:t>
      </w:r>
      <w:r w:rsidR="00511AEE">
        <w:rPr>
          <w:rFonts w:cs="Arial"/>
          <w:lang w:val="en"/>
        </w:rPr>
        <w:t xml:space="preserve">the </w:t>
      </w:r>
      <w:r w:rsidRPr="00643CF2">
        <w:rPr>
          <w:rFonts w:cs="Arial"/>
          <w:lang w:val="en"/>
        </w:rPr>
        <w:t>G</w:t>
      </w:r>
      <w:r w:rsidR="00F72F9A">
        <w:rPr>
          <w:rFonts w:cs="Arial"/>
          <w:lang w:val="en"/>
        </w:rPr>
        <w:t xml:space="preserve">eneral </w:t>
      </w:r>
      <w:r w:rsidRPr="00643CF2">
        <w:rPr>
          <w:rFonts w:cs="Arial"/>
          <w:lang w:val="en"/>
        </w:rPr>
        <w:t>M</w:t>
      </w:r>
      <w:r w:rsidR="00F72F9A">
        <w:rPr>
          <w:rFonts w:cs="Arial"/>
          <w:lang w:val="en"/>
        </w:rPr>
        <w:t>edical Services</w:t>
      </w:r>
      <w:r w:rsidRPr="00643CF2">
        <w:rPr>
          <w:rFonts w:cs="Arial"/>
          <w:lang w:val="en"/>
        </w:rPr>
        <w:t xml:space="preserve"> contract, one session is one tenth of a week</w:t>
      </w:r>
    </w:p>
    <w:p w14:paraId="3C30187F" w14:textId="77777777" w:rsidR="00643CF2" w:rsidRPr="00643CF2" w:rsidRDefault="00643CF2" w:rsidP="00643CF2">
      <w:pPr>
        <w:pStyle w:val="ListParagraph"/>
        <w:ind w:left="360"/>
        <w:rPr>
          <w:rFonts w:cs="Arial"/>
          <w:lang w:val="en"/>
        </w:rPr>
      </w:pPr>
    </w:p>
    <w:p w14:paraId="1C288AB1" w14:textId="41287FEC" w:rsidR="00643CF2" w:rsidRDefault="00643CF2" w:rsidP="00643CF2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643CF2">
        <w:rPr>
          <w:rFonts w:cs="Arial"/>
          <w:lang w:val="en"/>
        </w:rPr>
        <w:t xml:space="preserve">It is anticipated that opportunities will exist for GP </w:t>
      </w:r>
      <w:r w:rsidR="00511AEE">
        <w:rPr>
          <w:rFonts w:cs="Arial"/>
          <w:lang w:val="en"/>
        </w:rPr>
        <w:t>E</w:t>
      </w:r>
      <w:r w:rsidRPr="00643CF2">
        <w:rPr>
          <w:rFonts w:cs="Arial"/>
          <w:lang w:val="en"/>
        </w:rPr>
        <w:t>ducators to be paid on a higher scale point for agreed periods, covering specific and time limited pieces of work. This enhancement may be applied to some or all of existing sessions</w:t>
      </w:r>
      <w:r w:rsidR="00CF5BA5">
        <w:rPr>
          <w:rFonts w:cs="Arial"/>
          <w:lang w:val="en"/>
        </w:rPr>
        <w:t xml:space="preserve"> by written agreement with the D</w:t>
      </w:r>
      <w:r w:rsidRPr="00643CF2">
        <w:rPr>
          <w:rFonts w:cs="Arial"/>
          <w:lang w:val="en"/>
        </w:rPr>
        <w:t>eanery.</w:t>
      </w:r>
    </w:p>
    <w:p w14:paraId="5A5D77E0" w14:textId="77777777" w:rsidR="00643CF2" w:rsidRPr="00643CF2" w:rsidRDefault="00643CF2" w:rsidP="00643CF2">
      <w:pPr>
        <w:pStyle w:val="ListParagraph"/>
        <w:ind w:left="360"/>
        <w:rPr>
          <w:rFonts w:cs="Arial"/>
          <w:lang w:val="en"/>
        </w:rPr>
      </w:pPr>
    </w:p>
    <w:p w14:paraId="4ECCA278" w14:textId="2902CD8F" w:rsidR="00643CF2" w:rsidRDefault="00643CF2" w:rsidP="00643CF2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643CF2">
        <w:rPr>
          <w:rFonts w:cs="Arial"/>
          <w:lang w:val="en"/>
        </w:rPr>
        <w:t xml:space="preserve">Annual appraisal of performance and professional development should include a review of the GP </w:t>
      </w:r>
      <w:r w:rsidR="00511AEE">
        <w:rPr>
          <w:rFonts w:cs="Arial"/>
          <w:lang w:val="en"/>
        </w:rPr>
        <w:t>E</w:t>
      </w:r>
      <w:r w:rsidRPr="00643CF2">
        <w:rPr>
          <w:rFonts w:cs="Arial"/>
          <w:lang w:val="en"/>
        </w:rPr>
        <w:t>ducators’ position on the pay scale.</w:t>
      </w:r>
    </w:p>
    <w:p w14:paraId="1B81A41F" w14:textId="77777777" w:rsidR="00F72F9A" w:rsidRDefault="00F72F9A" w:rsidP="00F72F9A">
      <w:pPr>
        <w:pStyle w:val="ListParagraph"/>
        <w:ind w:left="360"/>
        <w:rPr>
          <w:rFonts w:cs="Arial"/>
          <w:lang w:val="en"/>
        </w:rPr>
      </w:pPr>
    </w:p>
    <w:p w14:paraId="5781FA86" w14:textId="45C16EA9" w:rsidR="00F72F9A" w:rsidRDefault="00F72F9A" w:rsidP="00F72F9A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F72F9A">
        <w:rPr>
          <w:rFonts w:cs="Arial"/>
          <w:lang w:val="en"/>
        </w:rPr>
        <w:t>The GP trainer grant (previously notified through directions to Health Education England) is £8,</w:t>
      </w:r>
      <w:r w:rsidR="00992F50">
        <w:rPr>
          <w:rFonts w:cs="Arial"/>
          <w:lang w:val="en"/>
        </w:rPr>
        <w:t>584</w:t>
      </w:r>
      <w:r w:rsidRPr="00F72F9A">
        <w:rPr>
          <w:rFonts w:cs="Arial"/>
          <w:lang w:val="en"/>
        </w:rPr>
        <w:t xml:space="preserve"> from 1 April 20</w:t>
      </w:r>
      <w:r w:rsidR="00992F50">
        <w:rPr>
          <w:rFonts w:cs="Arial"/>
          <w:lang w:val="en"/>
        </w:rPr>
        <w:t>20</w:t>
      </w:r>
      <w:r w:rsidRPr="00F72F9A">
        <w:rPr>
          <w:rFonts w:cs="Arial"/>
          <w:lang w:val="en"/>
        </w:rPr>
        <w:t>.</w:t>
      </w:r>
    </w:p>
    <w:p w14:paraId="3074C88A" w14:textId="77777777" w:rsidR="00643CF2" w:rsidRPr="00643CF2" w:rsidRDefault="00643CF2" w:rsidP="00643CF2">
      <w:pPr>
        <w:pStyle w:val="ListParagraph"/>
        <w:ind w:left="360"/>
        <w:rPr>
          <w:rFonts w:cs="Arial"/>
          <w:lang w:val="en"/>
        </w:rPr>
      </w:pPr>
    </w:p>
    <w:p w14:paraId="0B3E1227" w14:textId="77777777" w:rsidR="00EB1914" w:rsidRDefault="00EB1914">
      <w:pPr>
        <w:rPr>
          <w:rFonts w:ascii="Arial" w:hAnsi="Arial" w:cs="Arial"/>
        </w:rPr>
      </w:pPr>
    </w:p>
    <w:sectPr w:rsidR="00EB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D27ED"/>
    <w:multiLevelType w:val="multilevel"/>
    <w:tmpl w:val="DAEE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60B0B"/>
    <w:multiLevelType w:val="hybridMultilevel"/>
    <w:tmpl w:val="8F8C7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CF2"/>
    <w:rsid w:val="002106A1"/>
    <w:rsid w:val="00511AEE"/>
    <w:rsid w:val="00643CF2"/>
    <w:rsid w:val="008A2C34"/>
    <w:rsid w:val="008E6554"/>
    <w:rsid w:val="00992F50"/>
    <w:rsid w:val="00CF5BA5"/>
    <w:rsid w:val="00E225E0"/>
    <w:rsid w:val="00E46097"/>
    <w:rsid w:val="00EB1914"/>
    <w:rsid w:val="00F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6BE5"/>
  <w15:docId w15:val="{FFC67C4E-68CC-47DD-8BD8-6797135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/>
    <Author0 xmlns="D259749B-A2FA-4762-BAAE-748A846B9902">
      <UserInfo>
        <DisplayName/>
        <AccountId xsi:nil="true"/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2021-08-03T09:44:58+00:00</Published_x0020_Date>
    <Description0 xmlns="D259749B-A2FA-4762-BAAE-748A846B9902" xsi:nil="true"/>
    <Expiry_x0020_Date xmlns="D259749B-A2FA-4762-BAAE-748A846B9902" xsi:nil="true"/>
    <_dlc_DocId xmlns="7845b4e5-581f-4554-8843-a411c9829904">ZXDD766ENQDJ-737846793-3450</_dlc_DocId>
    <_dlc_DocIdUrl xmlns="7845b4e5-581f-4554-8843-a411c9829904">
      <Url>https://intranetsp.bournemouth.ac.uk/_layouts/15/DocIdRedir.aspx?ID=ZXDD766ENQDJ-737846793-3450</Url>
      <Description>ZXDD766ENQDJ-737846793-3450</Description>
    </_dlc_DocIdUrl>
  </documentManagement>
</p:properties>
</file>

<file path=customXml/itemProps1.xml><?xml version="1.0" encoding="utf-8"?>
<ds:datastoreItem xmlns:ds="http://schemas.openxmlformats.org/officeDocument/2006/customXml" ds:itemID="{364D2F83-F211-4A58-9171-585FCE49B5A0}"/>
</file>

<file path=customXml/itemProps2.xml><?xml version="1.0" encoding="utf-8"?>
<ds:datastoreItem xmlns:ds="http://schemas.openxmlformats.org/officeDocument/2006/customXml" ds:itemID="{D3108CF1-F301-450D-9148-D92AB8E2C9EF}"/>
</file>

<file path=customXml/itemProps3.xml><?xml version="1.0" encoding="utf-8"?>
<ds:datastoreItem xmlns:ds="http://schemas.openxmlformats.org/officeDocument/2006/customXml" ds:itemID="{71F2489C-5BE6-405B-8D0C-63FAAD4DF04D}"/>
</file>

<file path=customXml/itemProps4.xml><?xml version="1.0" encoding="utf-8"?>
<ds:datastoreItem xmlns:ds="http://schemas.openxmlformats.org/officeDocument/2006/customXml" ds:itemID="{6896BE7A-C549-4BE9-8B89-F07135B33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Sheridan</dc:creator>
  <cp:lastModifiedBy>Elaine Sheridan</cp:lastModifiedBy>
  <cp:revision>6</cp:revision>
  <dcterms:created xsi:type="dcterms:W3CDTF">2018-08-29T08:02:00Z</dcterms:created>
  <dcterms:modified xsi:type="dcterms:W3CDTF">2021-02-11T13:37:00Z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206cd18f-bbed-49bb-8462-103769d87ee4</vt:lpwstr>
  </property>
</Properties>
</file>